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after="312" w:afterLines="100" w:line="50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202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3</w:t>
      </w:r>
      <w:r>
        <w:rPr>
          <w:rFonts w:ascii="Times New Roman" w:hAnsi="Times New Roman" w:eastAsia="黑体"/>
          <w:sz w:val="36"/>
          <w:szCs w:val="36"/>
        </w:rPr>
        <w:t>届本科毕业生教学工作日程安排表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667"/>
        <w:gridCol w:w="425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  <w:t>周次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  <w:t>内  容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8"/>
                <w:szCs w:val="28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第10周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月30日前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1.完成毕业生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毕业论文文字重合百分比检测；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2.审核毕业生答辩申请及延期答辩申请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3.完成毕业生社会与艺术实践等学分认定工作；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4.完成毕业生期初补考成绩入库。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 w:leftChars="0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教务处完成毕业论文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盲审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第14周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 w:leftChars="0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完成毕业创作（设计、汇报）相关工作。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各二级学院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第15周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5月31日前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 w:leftChars="0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完成毕业论文答辩工作。</w:t>
            </w: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完成毕业生各类成绩的入库及梳理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2.完成学士学位申请表提交。</w:t>
            </w: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第16-17周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至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6月1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1.毕业及学位资格初审、复审；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2.毕业及学位证书制作；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3.完成冯健亲学位论文奖学金的评审；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4.完成毕业生教材结算。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各教学单位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第18-19周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6月19日</w:t>
            </w:r>
            <w:bookmarkStart w:id="0" w:name="_GoBack"/>
            <w:bookmarkEnd w:id="0"/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至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7月2日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校学位评定委员会会议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毕业及学位授予典礼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毕业生办理离校手续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完成毕业论文集、作品集的收集整理。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各相关部门</w:t>
            </w:r>
          </w:p>
        </w:tc>
      </w:tr>
    </w:tbl>
    <w:p>
      <w:pPr>
        <w:rPr>
          <w:rFonts w:hint="eastAsia" w:ascii="宋体" w:hAnsi="宋体" w:eastAsia="宋体" w:cs="宋体"/>
          <w:color w:val="0000FF"/>
          <w:sz w:val="24"/>
          <w:szCs w:val="24"/>
        </w:rPr>
      </w:pPr>
    </w:p>
    <w:sectPr>
      <w:footerReference r:id="rId4" w:type="first"/>
      <w:footerReference r:id="rId3" w:type="default"/>
      <w:pgSz w:w="11906" w:h="16838"/>
      <w:pgMar w:top="1985" w:right="1797" w:bottom="1440" w:left="1797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DDDD84"/>
    <w:multiLevelType w:val="singleLevel"/>
    <w:tmpl w:val="A5DDDD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